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71C" w:rsidRDefault="00F0771C" w:rsidP="00F0771C">
      <w:pPr>
        <w:jc w:val="center"/>
        <w:rPr>
          <w:b/>
          <w:sz w:val="32"/>
          <w:szCs w:val="32"/>
        </w:rPr>
      </w:pPr>
      <w:r w:rsidRPr="00D17E94">
        <w:rPr>
          <w:b/>
          <w:sz w:val="32"/>
          <w:szCs w:val="32"/>
          <w:highlight w:val="yellow"/>
        </w:rPr>
        <w:t>[SAMPLE]</w:t>
      </w:r>
      <w:r w:rsidRPr="00D5169A">
        <w:rPr>
          <w:b/>
          <w:sz w:val="32"/>
          <w:szCs w:val="32"/>
        </w:rPr>
        <w:t xml:space="preserve"> </w:t>
      </w:r>
      <w:r>
        <w:rPr>
          <w:b/>
          <w:sz w:val="32"/>
          <w:szCs w:val="32"/>
        </w:rPr>
        <w:t xml:space="preserve">SMOKEFREE </w:t>
      </w:r>
      <w:r w:rsidRPr="00D5169A">
        <w:rPr>
          <w:b/>
          <w:sz w:val="32"/>
          <w:szCs w:val="32"/>
        </w:rPr>
        <w:t>LEASE ADDENDUM</w:t>
      </w:r>
      <w:r>
        <w:rPr>
          <w:b/>
          <w:sz w:val="32"/>
          <w:szCs w:val="32"/>
        </w:rPr>
        <w:t xml:space="preserve"> and POLICY</w:t>
      </w:r>
    </w:p>
    <w:p w:rsidR="00F0771C" w:rsidRPr="00D17E94" w:rsidRDefault="00F0771C" w:rsidP="00F0771C">
      <w:pPr>
        <w:jc w:val="center"/>
        <w:rPr>
          <w:b/>
          <w:sz w:val="32"/>
          <w:szCs w:val="32"/>
          <w:highlight w:val="yellow"/>
        </w:rPr>
      </w:pPr>
      <w:r w:rsidRPr="00D17E94">
        <w:rPr>
          <w:b/>
          <w:sz w:val="32"/>
          <w:szCs w:val="32"/>
          <w:highlight w:val="yellow"/>
        </w:rPr>
        <w:t xml:space="preserve">[Version </w:t>
      </w:r>
      <w:r>
        <w:rPr>
          <w:b/>
          <w:sz w:val="32"/>
          <w:szCs w:val="32"/>
          <w:highlight w:val="yellow"/>
        </w:rPr>
        <w:t>D</w:t>
      </w:r>
      <w:r w:rsidRPr="00D17E94">
        <w:rPr>
          <w:b/>
          <w:sz w:val="32"/>
          <w:szCs w:val="32"/>
          <w:highlight w:val="yellow"/>
        </w:rPr>
        <w:t xml:space="preserve">:  </w:t>
      </w:r>
      <w:r>
        <w:rPr>
          <w:b/>
          <w:sz w:val="32"/>
          <w:szCs w:val="32"/>
          <w:highlight w:val="yellow"/>
        </w:rPr>
        <w:t>Smoking prohibited curb-to-curb at all properties of this Public Housing Authority</w:t>
      </w:r>
    </w:p>
    <w:p w:rsidR="00CF7559" w:rsidRPr="00387094" w:rsidRDefault="00CF7559" w:rsidP="00CF7559">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CF7559" w:rsidRDefault="00CF7559" w:rsidP="00CF7559">
      <w:pPr>
        <w:pStyle w:val="Default"/>
        <w:spacing w:after="200" w:line="276" w:lineRule="auto"/>
        <w:rPr>
          <w:rFonts w:asciiTheme="minorHAnsi" w:hAnsiTheme="minorHAnsi"/>
        </w:rPr>
      </w:pPr>
      <w:r w:rsidRPr="00387094">
        <w:rPr>
          <w:rFonts w:asciiTheme="minorHAnsi" w:hAnsiTheme="minorHAnsi"/>
        </w:rPr>
        <w:t xml:space="preserve">This smokefree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mitigating (i) the irritation and known adverse health effects of secondhand</w:t>
      </w:r>
      <w:r>
        <w:rPr>
          <w:rFonts w:asciiTheme="minorHAnsi" w:hAnsiTheme="minorHAnsi"/>
        </w:rPr>
        <w:t xml:space="preserve"> tobacco</w:t>
      </w:r>
      <w:r w:rsidRPr="00387094">
        <w:rPr>
          <w:rFonts w:asciiTheme="minorHAnsi" w:hAnsiTheme="minorHAnsi"/>
        </w:rPr>
        <w:t xml:space="preserve"> smoke;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CF7559" w:rsidRPr="00387094" w:rsidRDefault="00CF7559" w:rsidP="00CF7559">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CF7559" w:rsidRPr="00387094" w:rsidRDefault="00CF7559" w:rsidP="00CF7559">
      <w:pPr>
        <w:pStyle w:val="Default"/>
        <w:spacing w:after="200" w:line="276" w:lineRule="auto"/>
        <w:rPr>
          <w:rFonts w:asciiTheme="minorHAnsi" w:hAnsiTheme="minorHAnsi"/>
        </w:rPr>
      </w:pPr>
      <w:r w:rsidRPr="00387094">
        <w:rPr>
          <w:rFonts w:asciiTheme="minorHAnsi" w:hAnsiTheme="minorHAnsi"/>
          <w:b/>
          <w:bCs/>
        </w:rPr>
        <w:t xml:space="preserve">2. Definitions. </w:t>
      </w:r>
    </w:p>
    <w:p w:rsidR="00CF7559" w:rsidRPr="00387094" w:rsidRDefault="00CF7559" w:rsidP="00CF7559">
      <w:pPr>
        <w:pStyle w:val="Default"/>
        <w:spacing w:after="200" w:line="276" w:lineRule="auto"/>
        <w:rPr>
          <w:rFonts w:asciiTheme="minorHAnsi" w:hAnsiTheme="minorHAnsi"/>
        </w:rPr>
      </w:pPr>
      <w:r w:rsidRPr="00387094">
        <w:rPr>
          <w:rFonts w:asciiTheme="minorHAnsi" w:hAnsiTheme="minorHAnsi"/>
        </w:rPr>
        <w:t xml:space="preserve">“Smoking” means inhaling, exhaling, burning, or carrying any lighted or heated cigar, cigarette, or pipe, or any other lighted or heated tobacco or plant product intended for inhalation, including hookahs.       </w:t>
      </w:r>
    </w:p>
    <w:p w:rsidR="00F0771C" w:rsidRPr="00CF7559" w:rsidRDefault="00CF7559" w:rsidP="00F0771C">
      <w:pPr>
        <w:rPr>
          <w:b/>
          <w:sz w:val="24"/>
          <w:szCs w:val="24"/>
        </w:rPr>
      </w:pPr>
      <w:r w:rsidRPr="00387094">
        <w:rPr>
          <w:b/>
          <w:sz w:val="24"/>
          <w:szCs w:val="24"/>
        </w:rPr>
        <w:t xml:space="preserve">3. </w:t>
      </w:r>
      <w:r>
        <w:rPr>
          <w:b/>
          <w:sz w:val="24"/>
          <w:szCs w:val="24"/>
        </w:rPr>
        <w:t xml:space="preserve"> Smoking Prohibition.</w:t>
      </w:r>
    </w:p>
    <w:p w:rsidR="00CF7559" w:rsidRDefault="00CF7559" w:rsidP="00CF7559">
      <w:pPr>
        <w:pStyle w:val="ListParagraph"/>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Pr>
          <w:rFonts w:cs="Arial"/>
          <w:sz w:val="24"/>
          <w:szCs w:val="24"/>
        </w:rPr>
        <w:t xml:space="preserve"> a smokefree 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and management, shall not smoke anywhere in the units rented by residents, in the building[s] where residents’ </w:t>
      </w:r>
      <w:r w:rsidRPr="005C74EF">
        <w:rPr>
          <w:rFonts w:cs="Arial"/>
          <w:sz w:val="24"/>
          <w:szCs w:val="24"/>
          <w:shd w:val="clear" w:color="auto" w:fill="C6D9F1" w:themeFill="text2" w:themeFillTint="33"/>
        </w:rPr>
        <w:t xml:space="preserve">dwelling[s] is/are located, </w:t>
      </w:r>
      <w:r>
        <w:rPr>
          <w:rFonts w:cs="Arial"/>
          <w:sz w:val="24"/>
          <w:szCs w:val="24"/>
          <w:shd w:val="clear" w:color="auto" w:fill="C6D9F1" w:themeFill="text2" w:themeFillTint="33"/>
        </w:rPr>
        <w:t>in other public housing authority buildings, or anywhere</w:t>
      </w:r>
      <w:r w:rsidRPr="005C74EF">
        <w:rPr>
          <w:rFonts w:cs="Arial"/>
          <w:sz w:val="24"/>
          <w:szCs w:val="24"/>
          <w:shd w:val="clear" w:color="auto" w:fill="C6D9F1" w:themeFill="text2" w:themeFillTint="33"/>
        </w:rPr>
        <w:t xml:space="preserve"> outdoors on the property of this housing authority, nor shall residents, staff, or management permit any guests or visitors</w:t>
      </w:r>
      <w:r w:rsidRPr="00782AA9">
        <w:rPr>
          <w:rFonts w:cs="Arial"/>
          <w:sz w:val="24"/>
          <w:szCs w:val="24"/>
        </w:rPr>
        <w:t xml:space="preserve"> under the control of residents, staff, or management to do so. </w:t>
      </w:r>
    </w:p>
    <w:p w:rsidR="00C371F5" w:rsidRDefault="00C371F5" w:rsidP="00CF7559">
      <w:pPr>
        <w:pStyle w:val="ListParagraph"/>
        <w:autoSpaceDE w:val="0"/>
        <w:autoSpaceDN w:val="0"/>
        <w:adjustRightInd w:val="0"/>
        <w:spacing w:after="0"/>
        <w:ind w:left="0"/>
        <w:rPr>
          <w:rFonts w:cs="Arial"/>
          <w:sz w:val="24"/>
          <w:szCs w:val="24"/>
        </w:rPr>
      </w:pPr>
    </w:p>
    <w:p w:rsidR="00C371F5" w:rsidRPr="00333C31" w:rsidRDefault="00C371F5" w:rsidP="00C371F5">
      <w:pPr>
        <w:autoSpaceDE w:val="0"/>
        <w:autoSpaceDN w:val="0"/>
        <w:adjustRightInd w:val="0"/>
        <w:spacing w:after="0" w:line="240" w:lineRule="auto"/>
        <w:rPr>
          <w:rFonts w:cs="Arial"/>
          <w:sz w:val="24"/>
          <w:szCs w:val="24"/>
          <w:u w:val="single"/>
        </w:rPr>
      </w:pPr>
      <w:r w:rsidRPr="00333C31">
        <w:rPr>
          <w:b/>
          <w:sz w:val="24"/>
          <w:szCs w:val="24"/>
        </w:rPr>
        <w:t xml:space="preserve">4.  </w:t>
      </w:r>
      <w:r w:rsidRPr="00333C31">
        <w:rPr>
          <w:rFonts w:cs="Arial"/>
          <w:b/>
          <w:sz w:val="24"/>
          <w:szCs w:val="24"/>
        </w:rPr>
        <w:t>Residents to Promote No Smoking Policy and to Alert Landlord of Violations</w:t>
      </w:r>
      <w:r w:rsidRPr="00333C31">
        <w:rPr>
          <w:rFonts w:cs="Arial"/>
          <w:sz w:val="24"/>
          <w:szCs w:val="24"/>
          <w:u w:val="single"/>
        </w:rPr>
        <w:t xml:space="preserve"> </w:t>
      </w:r>
    </w:p>
    <w:p w:rsidR="00C371F5" w:rsidRPr="00333C31" w:rsidRDefault="00C371F5" w:rsidP="00C371F5">
      <w:pPr>
        <w:autoSpaceDE w:val="0"/>
        <w:autoSpaceDN w:val="0"/>
        <w:adjustRightInd w:val="0"/>
        <w:spacing w:after="0" w:line="240" w:lineRule="auto"/>
        <w:contextualSpacing/>
        <w:rPr>
          <w:rFonts w:cs="Arial"/>
          <w:sz w:val="24"/>
          <w:szCs w:val="24"/>
        </w:rPr>
      </w:pPr>
    </w:p>
    <w:p w:rsidR="00C371F5" w:rsidRDefault="00C371F5" w:rsidP="00C371F5">
      <w:pPr>
        <w:autoSpaceDE w:val="0"/>
        <w:autoSpaceDN w:val="0"/>
        <w:adjustRightInd w:val="0"/>
        <w:spacing w:after="0"/>
        <w:rPr>
          <w:rFonts w:cs="Arial"/>
          <w:sz w:val="24"/>
          <w:szCs w:val="24"/>
        </w:rPr>
      </w:pPr>
      <w:r w:rsidRPr="00333C31">
        <w:rPr>
          <w:rFonts w:cs="Arial"/>
          <w:sz w:val="24"/>
          <w:szCs w:val="24"/>
        </w:rPr>
        <w:t>Residents shall inform residents’ guests and visitors of the smokefree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r>
        <w:rPr>
          <w:rFonts w:cs="Arial"/>
          <w:sz w:val="24"/>
          <w:szCs w:val="24"/>
        </w:rPr>
        <w:t xml:space="preserve"> </w:t>
      </w:r>
    </w:p>
    <w:p w:rsidR="00C371F5" w:rsidRPr="00333C31" w:rsidRDefault="00C371F5" w:rsidP="00C371F5">
      <w:pPr>
        <w:autoSpaceDE w:val="0"/>
        <w:autoSpaceDN w:val="0"/>
        <w:adjustRightInd w:val="0"/>
        <w:spacing w:after="0" w:line="240" w:lineRule="auto"/>
        <w:rPr>
          <w:rFonts w:cs="Arial"/>
          <w:sz w:val="24"/>
          <w:szCs w:val="24"/>
        </w:rPr>
      </w:pPr>
    </w:p>
    <w:p w:rsidR="00C371F5" w:rsidRPr="00333C31" w:rsidRDefault="00C371F5" w:rsidP="00C371F5">
      <w:pPr>
        <w:autoSpaceDE w:val="0"/>
        <w:autoSpaceDN w:val="0"/>
        <w:adjustRightInd w:val="0"/>
        <w:spacing w:after="0" w:line="240" w:lineRule="auto"/>
        <w:contextualSpacing/>
        <w:rPr>
          <w:rFonts w:cs="Arial"/>
          <w:sz w:val="24"/>
          <w:szCs w:val="24"/>
        </w:rPr>
      </w:pPr>
    </w:p>
    <w:p w:rsidR="00C371F5" w:rsidRPr="00333C31" w:rsidRDefault="00C371F5" w:rsidP="00C371F5">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 Policy </w:t>
      </w:r>
    </w:p>
    <w:p w:rsidR="00C371F5" w:rsidRDefault="00C371F5" w:rsidP="00C371F5">
      <w:pPr>
        <w:autoSpaceDE w:val="0"/>
        <w:autoSpaceDN w:val="0"/>
        <w:adjustRightInd w:val="0"/>
        <w:spacing w:after="0" w:line="240" w:lineRule="auto"/>
        <w:contextualSpacing/>
        <w:rPr>
          <w:rFonts w:cs="Arial"/>
          <w:color w:val="000000"/>
          <w:sz w:val="24"/>
          <w:szCs w:val="24"/>
        </w:rPr>
      </w:pPr>
    </w:p>
    <w:p w:rsidR="00C371F5" w:rsidRDefault="00C371F5" w:rsidP="00C371F5">
      <w:pPr>
        <w:shd w:val="clear" w:color="auto" w:fill="C6D9F1" w:themeFill="text2" w:themeFillTint="33"/>
        <w:autoSpaceDE w:val="0"/>
        <w:autoSpaceDN w:val="0"/>
        <w:adjustRightInd w:val="0"/>
        <w:spacing w:after="0" w:line="240" w:lineRule="auto"/>
        <w:rPr>
          <w:rFonts w:cs="Arial"/>
          <w:color w:val="000000"/>
          <w:sz w:val="24"/>
          <w:szCs w:val="24"/>
        </w:rPr>
      </w:pPr>
      <w:r>
        <w:rPr>
          <w:rFonts w:cs="Arial"/>
          <w:color w:val="000000"/>
          <w:sz w:val="24"/>
          <w:szCs w:val="24"/>
        </w:rPr>
        <w:t>The Housing Authority management</w:t>
      </w:r>
      <w:r w:rsidRPr="00333C31">
        <w:rPr>
          <w:rFonts w:cs="Arial"/>
          <w:color w:val="000000"/>
          <w:sz w:val="24"/>
          <w:szCs w:val="24"/>
        </w:rPr>
        <w:t xml:space="preserve"> shall post no smoking signs at </w:t>
      </w:r>
      <w:r>
        <w:rPr>
          <w:rFonts w:cs="Arial"/>
          <w:color w:val="000000"/>
          <w:sz w:val="24"/>
          <w:szCs w:val="24"/>
        </w:rPr>
        <w:t xml:space="preserve">building </w:t>
      </w:r>
      <w:r w:rsidRPr="00333C31">
        <w:rPr>
          <w:rFonts w:cs="Arial"/>
          <w:color w:val="000000"/>
          <w:sz w:val="24"/>
          <w:szCs w:val="24"/>
        </w:rPr>
        <w:t xml:space="preserve">entrances and exits, </w:t>
      </w:r>
      <w:r>
        <w:rPr>
          <w:rFonts w:cs="Arial"/>
          <w:color w:val="000000"/>
          <w:sz w:val="24"/>
          <w:szCs w:val="24"/>
        </w:rPr>
        <w:t>and outside as needed to clearly indicate all public housing authority property as nonsmoking.</w:t>
      </w:r>
    </w:p>
    <w:p w:rsidR="00C371F5" w:rsidRPr="00333C31" w:rsidRDefault="00C371F5" w:rsidP="00C371F5">
      <w:pPr>
        <w:autoSpaceDE w:val="0"/>
        <w:autoSpaceDN w:val="0"/>
        <w:adjustRightInd w:val="0"/>
        <w:spacing w:after="0" w:line="240" w:lineRule="auto"/>
        <w:contextualSpacing/>
        <w:rPr>
          <w:rFonts w:cs="Arial"/>
          <w:color w:val="000000"/>
          <w:sz w:val="24"/>
          <w:szCs w:val="24"/>
        </w:rPr>
      </w:pPr>
    </w:p>
    <w:p w:rsidR="00C371F5" w:rsidRPr="00333C31" w:rsidRDefault="00C371F5" w:rsidP="00C371F5">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 Environment </w:t>
      </w:r>
    </w:p>
    <w:p w:rsidR="00C371F5" w:rsidRPr="00333C31" w:rsidRDefault="00C371F5" w:rsidP="00C371F5">
      <w:pPr>
        <w:autoSpaceDE w:val="0"/>
        <w:autoSpaceDN w:val="0"/>
        <w:adjustRightInd w:val="0"/>
        <w:spacing w:after="0" w:line="240" w:lineRule="auto"/>
        <w:contextualSpacing/>
        <w:rPr>
          <w:rFonts w:cs="Arial"/>
          <w:color w:val="EF3124"/>
          <w:sz w:val="24"/>
          <w:szCs w:val="24"/>
        </w:rPr>
      </w:pPr>
    </w:p>
    <w:p w:rsidR="00C371F5" w:rsidRPr="00333C31" w:rsidRDefault="00C371F5" w:rsidP="00C371F5">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Pr="00333C31">
        <w:rPr>
          <w:rFonts w:cs="Arial"/>
          <w:color w:val="000000"/>
          <w:sz w:val="24"/>
          <w:szCs w:val="24"/>
        </w:rPr>
        <w:t xml:space="preserve"> adoption of a smokefree living environment, </w:t>
      </w:r>
      <w:r>
        <w:rPr>
          <w:rFonts w:cs="Arial"/>
          <w:color w:val="000000"/>
          <w:sz w:val="24"/>
          <w:szCs w:val="24"/>
        </w:rPr>
        <w:t xml:space="preserve">does not make the public </w:t>
      </w:r>
      <w:r w:rsidR="006E47C0">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residents’ health or of the smokefree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ng unless management</w:t>
      </w:r>
      <w:r w:rsidRPr="00333C31">
        <w:rPr>
          <w:rFonts w:cs="Arial"/>
          <w:color w:val="000000"/>
          <w:sz w:val="24"/>
          <w:szCs w:val="24"/>
        </w:rPr>
        <w:t xml:space="preserve"> knows of said smoking or has been given written notice of said smoking.</w:t>
      </w:r>
    </w:p>
    <w:p w:rsidR="00C371F5" w:rsidRPr="00333C31" w:rsidRDefault="00C371F5" w:rsidP="00C371F5">
      <w:pPr>
        <w:autoSpaceDE w:val="0"/>
        <w:autoSpaceDN w:val="0"/>
        <w:adjustRightInd w:val="0"/>
        <w:spacing w:after="0" w:line="240" w:lineRule="auto"/>
        <w:rPr>
          <w:rFonts w:cs="Arial"/>
          <w:sz w:val="24"/>
          <w:szCs w:val="24"/>
          <w:u w:val="single"/>
        </w:rPr>
      </w:pPr>
    </w:p>
    <w:p w:rsidR="00C371F5" w:rsidRPr="00333C31" w:rsidRDefault="00C371F5" w:rsidP="00C371F5">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C371F5" w:rsidRPr="00333C31" w:rsidRDefault="00C371F5" w:rsidP="00C371F5">
      <w:pPr>
        <w:autoSpaceDE w:val="0"/>
        <w:autoSpaceDN w:val="0"/>
        <w:adjustRightInd w:val="0"/>
        <w:spacing w:after="0" w:line="240" w:lineRule="auto"/>
        <w:contextualSpacing/>
        <w:rPr>
          <w:rFonts w:cs="Arial"/>
          <w:sz w:val="24"/>
          <w:szCs w:val="24"/>
        </w:rPr>
      </w:pPr>
    </w:p>
    <w:p w:rsidR="00C371F5" w:rsidRPr="00333C31" w:rsidRDefault="00C371F5" w:rsidP="00C371F5">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 xml:space="preserve">smokefree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C371F5" w:rsidRPr="00333C31" w:rsidRDefault="00C371F5" w:rsidP="00C371F5">
      <w:pPr>
        <w:autoSpaceDE w:val="0"/>
        <w:autoSpaceDN w:val="0"/>
        <w:adjustRightInd w:val="0"/>
        <w:spacing w:after="0" w:line="240" w:lineRule="auto"/>
        <w:contextualSpacing/>
        <w:rPr>
          <w:rFonts w:cs="Arial"/>
          <w:color w:val="EF3124"/>
          <w:sz w:val="24"/>
          <w:szCs w:val="24"/>
        </w:rPr>
      </w:pPr>
    </w:p>
    <w:p w:rsidR="00C371F5" w:rsidRPr="00333C31" w:rsidRDefault="00C371F5" w:rsidP="00C371F5">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C371F5" w:rsidRPr="00333C31" w:rsidRDefault="00C371F5" w:rsidP="00C371F5">
      <w:pPr>
        <w:autoSpaceDE w:val="0"/>
        <w:autoSpaceDN w:val="0"/>
        <w:adjustRightInd w:val="0"/>
        <w:spacing w:after="0" w:line="240" w:lineRule="auto"/>
        <w:contextualSpacing/>
        <w:rPr>
          <w:rFonts w:cs="Arial"/>
          <w:color w:val="EF3124"/>
          <w:sz w:val="24"/>
          <w:szCs w:val="24"/>
        </w:rPr>
      </w:pPr>
    </w:p>
    <w:p w:rsidR="00C371F5" w:rsidRPr="003E6A85" w:rsidRDefault="00C371F5" w:rsidP="00C371F5">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 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include the right to be smokefree 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C371F5" w:rsidRDefault="00C371F5" w:rsidP="00C371F5">
      <w:pPr>
        <w:autoSpaceDE w:val="0"/>
        <w:autoSpaceDN w:val="0"/>
        <w:adjustRightInd w:val="0"/>
        <w:spacing w:after="0" w:line="240" w:lineRule="auto"/>
        <w:rPr>
          <w:rFonts w:ascii="Gotham-Light" w:hAnsi="Gotham-Light" w:cs="Gotham-Light"/>
        </w:rPr>
      </w:pPr>
    </w:p>
    <w:p w:rsidR="00C371F5" w:rsidRDefault="00C371F5" w:rsidP="00C371F5">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C371F5" w:rsidRDefault="00C371F5" w:rsidP="00C371F5">
      <w:pPr>
        <w:autoSpaceDE w:val="0"/>
        <w:autoSpaceDN w:val="0"/>
        <w:adjustRightInd w:val="0"/>
        <w:ind w:left="720"/>
        <w:rPr>
          <w:rFonts w:ascii="Gotham-Light" w:hAnsi="Gotham-Light" w:cs="Gotham-Light"/>
        </w:rPr>
      </w:pPr>
      <w:r>
        <w:rPr>
          <w:rFonts w:ascii="Gotham-Light" w:hAnsi="Gotham-Light" w:cs="Gotham-Light"/>
        </w:rPr>
        <w:lastRenderedPageBreak/>
        <w:t xml:space="preserve">First violation:  </w:t>
      </w:r>
      <w:r>
        <w:rPr>
          <w:rFonts w:ascii="Gotham-Light" w:hAnsi="Gotham-Light" w:cs="Gotham-Light"/>
        </w:rPr>
        <w:tab/>
        <w:t xml:space="preserve">Written warning, accompanied by smoking cessation resource </w:t>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t>information.</w:t>
      </w:r>
    </w:p>
    <w:p w:rsidR="00C371F5" w:rsidRDefault="00C371F5" w:rsidP="00C371F5">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 xml:space="preserve">Notice to vacate with option to remedy, accompanied by smoking </w:t>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r>
      <w:r>
        <w:rPr>
          <w:rFonts w:ascii="Gotham-Light" w:hAnsi="Gotham-Light" w:cs="Gotham-Light"/>
        </w:rPr>
        <w:tab/>
        <w:t>cessation resource information.</w:t>
      </w:r>
    </w:p>
    <w:p w:rsidR="00C371F5" w:rsidRPr="008B3052" w:rsidRDefault="00C371F5" w:rsidP="00C371F5">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C371F5" w:rsidRDefault="00C371F5" w:rsidP="00C371F5">
      <w:pPr>
        <w:autoSpaceDE w:val="0"/>
        <w:autoSpaceDN w:val="0"/>
        <w:adjustRightInd w:val="0"/>
        <w:spacing w:after="0" w:line="240" w:lineRule="auto"/>
        <w:rPr>
          <w:rFonts w:cs="Arial"/>
          <w:b/>
          <w:sz w:val="24"/>
          <w:szCs w:val="24"/>
        </w:rPr>
      </w:pPr>
    </w:p>
    <w:p w:rsidR="00C371F5" w:rsidRPr="00333C31" w:rsidRDefault="00C371F5" w:rsidP="00C371F5">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C371F5" w:rsidRPr="00333C31" w:rsidRDefault="00C371F5" w:rsidP="00C371F5">
      <w:pPr>
        <w:autoSpaceDE w:val="0"/>
        <w:autoSpaceDN w:val="0"/>
        <w:adjustRightInd w:val="0"/>
        <w:spacing w:after="0" w:line="240" w:lineRule="auto"/>
        <w:contextualSpacing/>
        <w:rPr>
          <w:rFonts w:cs="Arial"/>
          <w:color w:val="EF3124"/>
          <w:sz w:val="24"/>
          <w:szCs w:val="24"/>
        </w:rPr>
      </w:pPr>
    </w:p>
    <w:p w:rsidR="00C371F5" w:rsidRDefault="00C371F5" w:rsidP="00C371F5">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 xml:space="preserve">f a smokefree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smokefree any safer, more habitable, or improved in terms of air quality standards </w:t>
      </w:r>
      <w:r w:rsidRPr="00D17E94">
        <w:rPr>
          <w:rFonts w:cs="Arial"/>
          <w:color w:val="000000"/>
          <w:sz w:val="24"/>
          <w:szCs w:val="24"/>
        </w:rPr>
        <w:t>than any other rental premises.</w:t>
      </w:r>
      <w:r>
        <w:rPr>
          <w:rFonts w:cs="Arial"/>
          <w:color w:val="000000"/>
          <w:sz w:val="24"/>
          <w:szCs w:val="24"/>
        </w:rPr>
        <w:t xml:space="preserve"> Property 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C371F5" w:rsidRDefault="00C371F5" w:rsidP="00C371F5">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C371F5" w:rsidRDefault="00C371F5" w:rsidP="00C371F5">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C371F5" w:rsidRDefault="00C371F5" w:rsidP="00C371F5">
      <w:pPr>
        <w:pStyle w:val="ListParagraph"/>
        <w:autoSpaceDE w:val="0"/>
        <w:autoSpaceDN w:val="0"/>
        <w:adjustRightInd w:val="0"/>
        <w:spacing w:after="0"/>
        <w:ind w:left="0"/>
        <w:rPr>
          <w:rFonts w:cs="Arial"/>
          <w:sz w:val="24"/>
          <w:szCs w:val="24"/>
        </w:rPr>
      </w:pPr>
      <w:r>
        <w:rPr>
          <w:rFonts w:cs="Arial"/>
          <w:color w:val="000000"/>
          <w:sz w:val="24"/>
          <w:szCs w:val="24"/>
        </w:rPr>
        <w:t xml:space="preserve">Future leases shall include the provisions of this smokefree policy or contain this addendum.  </w:t>
      </w:r>
    </w:p>
    <w:p w:rsidR="00F0771C" w:rsidRDefault="00F0771C" w:rsidP="00F0771C"/>
    <w:p w:rsidR="00F0771C" w:rsidRPr="00636A94" w:rsidRDefault="00F0771C" w:rsidP="00F0771C">
      <w:pPr>
        <w:autoSpaceDE w:val="0"/>
        <w:autoSpaceDN w:val="0"/>
        <w:adjustRightInd w:val="0"/>
        <w:spacing w:after="0"/>
        <w:rPr>
          <w:rFonts w:cs="Arial"/>
          <w:color w:val="000000"/>
          <w:sz w:val="24"/>
          <w:szCs w:val="24"/>
        </w:rPr>
      </w:pPr>
      <w:r>
        <w:rPr>
          <w:b/>
          <w:sz w:val="24"/>
          <w:szCs w:val="24"/>
        </w:rPr>
        <w:t>Approved by:</w:t>
      </w:r>
      <w:r>
        <w:rPr>
          <w:b/>
          <w:sz w:val="24"/>
          <w:szCs w:val="24"/>
        </w:rPr>
        <w:tab/>
      </w:r>
      <w:r>
        <w:rPr>
          <w:b/>
          <w:sz w:val="24"/>
          <w:szCs w:val="24"/>
        </w:rPr>
        <w:tab/>
        <w:t>_________________________________________</w:t>
      </w:r>
    </w:p>
    <w:p w:rsidR="00F0771C" w:rsidRDefault="00F0771C" w:rsidP="00F0771C">
      <w:pPr>
        <w:spacing w:after="0" w:line="240" w:lineRule="auto"/>
        <w:rPr>
          <w:b/>
          <w:sz w:val="24"/>
          <w:szCs w:val="24"/>
        </w:rPr>
      </w:pPr>
      <w:r>
        <w:rPr>
          <w:b/>
          <w:sz w:val="24"/>
          <w:szCs w:val="24"/>
        </w:rPr>
        <w:tab/>
      </w:r>
      <w:r>
        <w:rPr>
          <w:b/>
          <w:sz w:val="24"/>
          <w:szCs w:val="24"/>
        </w:rPr>
        <w:tab/>
      </w:r>
      <w:r>
        <w:rPr>
          <w:b/>
          <w:sz w:val="24"/>
          <w:szCs w:val="24"/>
        </w:rPr>
        <w:tab/>
        <w:t>Name of Public Housing Authority Board</w:t>
      </w:r>
    </w:p>
    <w:p w:rsidR="00F0771C" w:rsidRDefault="00F0771C" w:rsidP="00F0771C">
      <w:pPr>
        <w:spacing w:after="0" w:line="240" w:lineRule="auto"/>
        <w:rPr>
          <w:b/>
          <w:sz w:val="24"/>
          <w:szCs w:val="24"/>
        </w:rPr>
      </w:pPr>
    </w:p>
    <w:p w:rsidR="00F0771C" w:rsidRDefault="00F0771C" w:rsidP="00F0771C">
      <w:pPr>
        <w:spacing w:after="0" w:line="240" w:lineRule="auto"/>
        <w:rPr>
          <w:b/>
          <w:sz w:val="24"/>
          <w:szCs w:val="24"/>
        </w:rPr>
      </w:pPr>
      <w:r>
        <w:rPr>
          <w:b/>
          <w:sz w:val="24"/>
          <w:szCs w:val="24"/>
        </w:rPr>
        <w:t>Signed by:</w:t>
      </w:r>
      <w:r>
        <w:rPr>
          <w:b/>
          <w:sz w:val="24"/>
          <w:szCs w:val="24"/>
        </w:rPr>
        <w:tab/>
      </w:r>
      <w:r>
        <w:rPr>
          <w:b/>
          <w:sz w:val="24"/>
          <w:szCs w:val="24"/>
        </w:rPr>
        <w:tab/>
        <w:t>_________________________________________</w:t>
      </w:r>
    </w:p>
    <w:p w:rsidR="00F0771C" w:rsidRDefault="00F0771C" w:rsidP="00F0771C">
      <w:pPr>
        <w:spacing w:after="0" w:line="240" w:lineRule="auto"/>
        <w:rPr>
          <w:b/>
          <w:sz w:val="24"/>
          <w:szCs w:val="24"/>
        </w:rPr>
      </w:pPr>
      <w:r>
        <w:rPr>
          <w:b/>
          <w:sz w:val="24"/>
          <w:szCs w:val="24"/>
        </w:rPr>
        <w:tab/>
      </w:r>
      <w:r>
        <w:rPr>
          <w:b/>
          <w:sz w:val="24"/>
          <w:szCs w:val="24"/>
        </w:rPr>
        <w:tab/>
      </w:r>
      <w:r>
        <w:rPr>
          <w:b/>
          <w:sz w:val="24"/>
          <w:szCs w:val="24"/>
        </w:rPr>
        <w:tab/>
        <w:t>Signature of authorized PHA official</w:t>
      </w:r>
    </w:p>
    <w:p w:rsidR="00F0771C" w:rsidRDefault="00F0771C" w:rsidP="00F0771C">
      <w:pPr>
        <w:spacing w:after="0" w:line="240" w:lineRule="auto"/>
        <w:rPr>
          <w:b/>
          <w:sz w:val="24"/>
          <w:szCs w:val="24"/>
        </w:rPr>
      </w:pPr>
    </w:p>
    <w:p w:rsidR="00F0771C" w:rsidRDefault="00F0771C" w:rsidP="00F0771C">
      <w:pPr>
        <w:spacing w:after="0" w:line="240" w:lineRule="auto"/>
        <w:rPr>
          <w:b/>
          <w:sz w:val="24"/>
          <w:szCs w:val="24"/>
        </w:rPr>
      </w:pPr>
      <w:r>
        <w:rPr>
          <w:b/>
          <w:sz w:val="24"/>
          <w:szCs w:val="24"/>
        </w:rPr>
        <w:t xml:space="preserve">Date Adopted:  </w:t>
      </w:r>
      <w:r>
        <w:rPr>
          <w:b/>
          <w:sz w:val="24"/>
          <w:szCs w:val="24"/>
        </w:rPr>
        <w:tab/>
        <w:t>__________________________________</w:t>
      </w:r>
    </w:p>
    <w:p w:rsidR="00F0771C" w:rsidRDefault="00F0771C" w:rsidP="00F0771C">
      <w:pPr>
        <w:jc w:val="center"/>
        <w:rPr>
          <w:b/>
          <w:sz w:val="32"/>
          <w:szCs w:val="32"/>
        </w:rPr>
      </w:pPr>
    </w:p>
    <w:p w:rsidR="00F0771C" w:rsidRDefault="00F0771C" w:rsidP="00F0771C">
      <w:pPr>
        <w:pStyle w:val="ListParagraph"/>
        <w:tabs>
          <w:tab w:val="left" w:pos="8280"/>
        </w:tabs>
        <w:ind w:left="2610" w:hanging="2520"/>
        <w:jc w:val="center"/>
        <w:rPr>
          <w:sz w:val="32"/>
          <w:szCs w:val="32"/>
        </w:rPr>
      </w:pPr>
    </w:p>
    <w:p w:rsidR="006E47C0" w:rsidRDefault="006E47C0" w:rsidP="006E47C0">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6E47C0" w:rsidRDefault="006E47C0" w:rsidP="006E47C0">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6E47C0" w:rsidRDefault="006E47C0" w:rsidP="006E47C0">
      <w:pPr>
        <w:spacing w:after="0" w:line="240" w:lineRule="auto"/>
        <w:rPr>
          <w:b/>
          <w:sz w:val="24"/>
          <w:szCs w:val="24"/>
        </w:rPr>
      </w:pPr>
    </w:p>
    <w:p w:rsidR="006E47C0" w:rsidRDefault="006E47C0" w:rsidP="006E47C0">
      <w:pPr>
        <w:spacing w:after="0" w:line="240" w:lineRule="auto"/>
        <w:rPr>
          <w:b/>
          <w:sz w:val="24"/>
          <w:szCs w:val="24"/>
        </w:rPr>
      </w:pPr>
    </w:p>
    <w:p w:rsidR="006E47C0" w:rsidRDefault="006E47C0" w:rsidP="006E47C0">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6E47C0" w:rsidRDefault="006E47C0" w:rsidP="006E47C0">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6E47C0" w:rsidRDefault="006E47C0" w:rsidP="006E47C0">
      <w:pPr>
        <w:spacing w:after="0" w:line="240" w:lineRule="auto"/>
        <w:rPr>
          <w:b/>
          <w:sz w:val="24"/>
          <w:szCs w:val="24"/>
        </w:rPr>
      </w:pPr>
    </w:p>
    <w:p w:rsidR="00F0771C" w:rsidRDefault="00F0771C" w:rsidP="00F0771C">
      <w:pPr>
        <w:tabs>
          <w:tab w:val="left" w:pos="8280"/>
        </w:tabs>
        <w:ind w:left="1530" w:right="-270" w:hanging="1800"/>
        <w:rPr>
          <w:sz w:val="16"/>
          <w:szCs w:val="16"/>
        </w:rPr>
      </w:pPr>
      <w:bookmarkStart w:id="0" w:name="_GoBack"/>
      <w:bookmarkEnd w:id="0"/>
    </w:p>
    <w:p w:rsidR="00F0771C" w:rsidRDefault="00F0771C" w:rsidP="00F0771C">
      <w:pPr>
        <w:tabs>
          <w:tab w:val="left" w:pos="8280"/>
        </w:tabs>
        <w:ind w:left="1530" w:right="-270" w:hanging="1800"/>
        <w:rPr>
          <w:sz w:val="16"/>
          <w:szCs w:val="16"/>
        </w:rPr>
      </w:pPr>
    </w:p>
    <w:p w:rsidR="00F0771C" w:rsidRDefault="00F0771C" w:rsidP="00F0771C">
      <w:pPr>
        <w:tabs>
          <w:tab w:val="left" w:pos="8280"/>
        </w:tabs>
        <w:ind w:left="1530" w:right="-270" w:hanging="1800"/>
        <w:jc w:val="center"/>
      </w:pPr>
      <w:r>
        <w:rPr>
          <w:highlight w:val="yellow"/>
        </w:rPr>
        <w:t>[end of Sample D</w:t>
      </w:r>
      <w:r w:rsidRPr="00D17E94">
        <w:rPr>
          <w:highlight w:val="yellow"/>
        </w:rPr>
        <w:t>]</w:t>
      </w:r>
    </w:p>
    <w:p w:rsidR="00F0771C" w:rsidRDefault="00F0771C" w:rsidP="000C33D2">
      <w:pPr>
        <w:jc w:val="center"/>
        <w:rPr>
          <w:b/>
          <w:sz w:val="32"/>
          <w:szCs w:val="32"/>
          <w:highlight w:val="yellow"/>
        </w:rPr>
      </w:pPr>
    </w:p>
    <w:p w:rsidR="00F0771C" w:rsidRDefault="00F0771C" w:rsidP="000C33D2">
      <w:pPr>
        <w:jc w:val="center"/>
        <w:rPr>
          <w:b/>
          <w:sz w:val="32"/>
          <w:szCs w:val="32"/>
          <w:highlight w:val="yellow"/>
        </w:rPr>
      </w:pPr>
    </w:p>
    <w:p w:rsidR="00F0771C" w:rsidRDefault="00F0771C" w:rsidP="000C33D2">
      <w:pPr>
        <w:jc w:val="center"/>
        <w:rPr>
          <w:b/>
          <w:sz w:val="32"/>
          <w:szCs w:val="32"/>
          <w:highlight w:val="yellow"/>
        </w:rPr>
      </w:pPr>
    </w:p>
    <w:p w:rsidR="00F0771C" w:rsidRDefault="00F0771C" w:rsidP="000C33D2">
      <w:pPr>
        <w:jc w:val="center"/>
        <w:rPr>
          <w:b/>
          <w:sz w:val="32"/>
          <w:szCs w:val="32"/>
          <w:highlight w:val="yellow"/>
        </w:rPr>
      </w:pPr>
    </w:p>
    <w:p w:rsidR="00F0771C" w:rsidRDefault="00F0771C" w:rsidP="00F0771C">
      <w:pPr>
        <w:shd w:val="clear" w:color="auto" w:fill="C6D9F1" w:themeFill="text2" w:themeFillTint="33"/>
        <w:jc w:val="center"/>
        <w:rPr>
          <w:b/>
          <w:sz w:val="32"/>
          <w:szCs w:val="32"/>
          <w:highlight w:val="yellow"/>
        </w:rPr>
      </w:pPr>
    </w:p>
    <w:p w:rsidR="00F0771C" w:rsidRDefault="00F0771C" w:rsidP="000C33D2">
      <w:pPr>
        <w:jc w:val="center"/>
        <w:rPr>
          <w:b/>
          <w:sz w:val="32"/>
          <w:szCs w:val="32"/>
          <w:highlight w:val="yellow"/>
        </w:rPr>
      </w:pPr>
    </w:p>
    <w:sectPr w:rsidR="00F077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C2" w:rsidRDefault="00017FC2" w:rsidP="00017FC2">
      <w:pPr>
        <w:spacing w:after="0" w:line="240" w:lineRule="auto"/>
      </w:pPr>
      <w:r>
        <w:separator/>
      </w:r>
    </w:p>
  </w:endnote>
  <w:endnote w:type="continuationSeparator" w:id="0">
    <w:p w:rsidR="00017FC2" w:rsidRDefault="00017FC2"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6E47C0">
          <w:rPr>
            <w:noProof/>
          </w:rPr>
          <w:t>4</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C2" w:rsidRDefault="00017FC2" w:rsidP="00017FC2">
      <w:pPr>
        <w:spacing w:after="0" w:line="240" w:lineRule="auto"/>
      </w:pPr>
      <w:r>
        <w:separator/>
      </w:r>
    </w:p>
  </w:footnote>
  <w:footnote w:type="continuationSeparator" w:id="0">
    <w:p w:rsidR="00017FC2" w:rsidRDefault="00017FC2"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0C33D2"/>
    <w:rsid w:val="003364D8"/>
    <w:rsid w:val="00377B4F"/>
    <w:rsid w:val="004006BE"/>
    <w:rsid w:val="006B072A"/>
    <w:rsid w:val="006E47C0"/>
    <w:rsid w:val="007149D8"/>
    <w:rsid w:val="0090423A"/>
    <w:rsid w:val="00956388"/>
    <w:rsid w:val="009D63B5"/>
    <w:rsid w:val="00C371F5"/>
    <w:rsid w:val="00CF7559"/>
    <w:rsid w:val="00D44356"/>
    <w:rsid w:val="00F0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0C3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0C3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cp:lastPrinted>2017-06-19T14:26:00Z</cp:lastPrinted>
  <dcterms:created xsi:type="dcterms:W3CDTF">2017-06-19T15:45:00Z</dcterms:created>
  <dcterms:modified xsi:type="dcterms:W3CDTF">2017-06-19T15:45:00Z</dcterms:modified>
</cp:coreProperties>
</file>